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Prove parallele I quad Secondaria 19/20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9564563" cy="5907222"/>
            <wp:effectExtent b="0" l="0" r="0" t="0"/>
            <wp:docPr descr="Grafico" id="3" name="image3.png"/>
            <a:graphic>
              <a:graphicData uri="http://schemas.openxmlformats.org/drawingml/2006/picture">
                <pic:pic>
                  <pic:nvPicPr>
                    <pic:cNvPr descr="Grafico"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564563" cy="590722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10072125" cy="6223000"/>
            <wp:effectExtent b="0" l="0" r="0" t="0"/>
            <wp:docPr descr="Grafico" id="1" name="image2.png"/>
            <a:graphic>
              <a:graphicData uri="http://schemas.openxmlformats.org/drawingml/2006/picture">
                <pic:pic>
                  <pic:nvPicPr>
                    <pic:cNvPr descr="Grafico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72125" cy="622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10072125" cy="6223000"/>
            <wp:effectExtent b="0" l="0" r="0" t="0"/>
            <wp:docPr descr="Grafico" id="2" name="image1.png"/>
            <a:graphic>
              <a:graphicData uri="http://schemas.openxmlformats.org/drawingml/2006/picture">
                <pic:pic>
                  <pic:nvPicPr>
                    <pic:cNvPr descr="Grafico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72125" cy="622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1906" w:w="16838"/>
      <w:pgMar w:bottom="566.811023622048" w:top="850.3937007874016" w:left="425.1968503937008" w:right="550.984251968504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