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C1" w:rsidRDefault="00911CC1" w:rsidP="00911CC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A0A0A"/>
        </w:rPr>
      </w:pPr>
    </w:p>
    <w:p w:rsidR="00911CC1" w:rsidRPr="00B4366A" w:rsidRDefault="00911CC1" w:rsidP="00911CC1">
      <w:pPr>
        <w:widowControl w:val="0"/>
        <w:jc w:val="both"/>
        <w:rPr>
          <w:b/>
          <w:color w:val="0A0A0A"/>
          <w:sz w:val="16"/>
          <w:szCs w:val="16"/>
        </w:rPr>
      </w:pPr>
      <w:r w:rsidRPr="00B4366A">
        <w:rPr>
          <w:b/>
          <w:color w:val="0A0A0A"/>
          <w:sz w:val="16"/>
          <w:szCs w:val="16"/>
        </w:rPr>
        <w:t>Allegato sulla Sicurezza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bookmarkStart w:id="0" w:name="_GoBack"/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</w:rPr>
        <w:t>UTILIZZO SICURO DI ATTREZZATURE/DISPOSITIVI per la DAD</w:t>
      </w:r>
    </w:p>
    <w:bookmarkEnd w:id="0"/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Di seguito vengono riportate le principali indicazioni relative ai requisiti e al corretto utilizzo di attrezzature/dispositivi per la DAD: 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notebook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,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tablet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e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smartphone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.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Indicazioni generali: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conservare in luoghi in cui siano facilmente reperibili e consultabili il manuale/istruzioni per l’uso redatte dal fabbricante;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leggere il manuale/istruzioni per l’uso prima dell’utilizzo dei dispositivi, seguire le indicazioni del costruttore/importatore e tenere a mente le informazioni riguardanti i principi di sicurezza;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si  raccomanda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di  utilizzare  apparecchi  elettrici  integri,  senza  parti  conduttrici  in  tensione accessibili (ad  es.  cavi di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alimentazione  con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  danni alla  guaina  isolante  che  rendano  visibili  i conduttori interni)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verificare periodicamente che le attrezzature siano integre e correttamente funzionanti, compresi i cavi elettrici e la spina di alimentazione;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non collegare tra loro dispositivi o accessori incompatibili;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effettuare la ricarica elettrica da prese di alimentazione integre e attraverso i dispositivi (cavi di collegamento, alimentatori) forniti in dotazione;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disporre i cavi di alimentazione in modo da minimizzare il pericolo di inciampo;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spegnere le attrezzature una volta terminati i lavori;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–– si raccomanda di collocare le attrezzature/dispositivi non coperti e con le griglie di aerazione non ostruite e di astenersi dall’uso nel caso di un loro anomalo riscaldamento;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inserire le spine dei cavi di alimentazione delle attrezzature/dispositivi in prese compatibili (ad es. spine a poli allineati in prese a poli allineati, spine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schuko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in prese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schuko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). Utilizzare la presa solo se ben ancorata al muro e controllare che la spina sia completamente inserita nella presa a garanzia di un contatto certo ed ottimale;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riporre le attrezzature in luogo sicuro, lontano da fonti di calore o di innesco, evitare di pigiare i cavi e di piegarli in corrispondenza delle giunzioni tra spina e cavo e tra cavo e connettore (la parte che serve per connettere l’attrezzatura al cavo di alimentazione);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non effettuare operazioni di riparazione e manutenzione fai da te;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lo schermo dei dispositivi è realizzato in vetro/cristallo e può rompersi in caso di caduta o a seguito di un forte urto. In caso di rottura dello schermo, evitare di toccare le schegge di vetro e non tentare di rimuovere il vetro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rotto  dal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dispositivo; il dispositivo non dovrà essere usato fino a quando non sarà stato riparato;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le batterie/accumulatori non vanno gettati nel fuoco (potrebbero esplodere), né smontati, tagliati, compressi, piegati, forati, danneggiati, manomessi, immersi o esposti all’acqua o altri liquidi;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in caso di fuoriuscita di liquido dalle batterie/accumulatori, va evitato il contatto del liquido con la pelle o gli occhi; qualora si verificasse un contatto, la parte colpita va sciacquata immediatamente con abbondante acqua 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Tutela della vista e della postura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è opportuno durante le    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pause  fra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una lezione e l’altra alzarsi in posizione eretta per  distogliere  la  vista  dallo  schermo  e sgranchirsi le gambe;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prima di iniziare a lavorare, orientare lo schermo verificando che la posizione rispetto alle fonti di luce naturale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e  artificiale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sia tale da non creare riflessi fastidiosi (come ad es. nel caso  in cui l’operatore sia posizionato con le spalle rivolte ad una finestra non adeguatamente schermata o sotto un punto luce a soffitto) o abbagliamenti (ad es.  evitare di sedersi di fronte ad una finestra non adeguatamente schermata);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i 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 xml:space="preserve">notebook, 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tablet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e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smartphone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hanno uno schermo con una superficie molto riflettente (schermi lucidi o </w:t>
      </w:r>
      <w:proofErr w:type="spellStart"/>
      <w:proofErr w:type="gram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glossy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)  per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garantire una resa ottimale dei colori; tenere presente che l’utilizzo di tali schermi può causare affaticamento visivo e pertanto: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Arial Unicode MS" w:eastAsia="Arial Unicode MS" w:hAnsi="Arial Unicode MS" w:cs="Arial Unicode MS"/>
          <w:color w:val="222222"/>
          <w:sz w:val="16"/>
          <w:szCs w:val="16"/>
        </w:rPr>
        <w:t>▪ regolare la luminosità e il contrasto sullo schermo in modo ottimale;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Arial Unicode MS" w:eastAsia="Arial Unicode MS" w:hAnsi="Arial Unicode MS" w:cs="Arial Unicode MS"/>
          <w:color w:val="222222"/>
          <w:sz w:val="16"/>
          <w:szCs w:val="16"/>
        </w:rPr>
        <w:lastRenderedPageBreak/>
        <w:t>▪ durante la lettura, distogliere spesso lo sguardo dallo schermo per fissare oggetti lontani, così come si fa quando si lavora normalmente al computer fisso;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Arial Unicode MS" w:eastAsia="Arial Unicode MS" w:hAnsi="Arial Unicode MS" w:cs="Arial Unicode MS"/>
          <w:color w:val="222222"/>
          <w:sz w:val="16"/>
          <w:szCs w:val="16"/>
        </w:rPr>
        <w:t>▪ in tutti i casi in cui i caratteri sullo schermo del dispositivo mobile siano troppo piccoli, è importante ingrandire i caratteri a schermo e utilizzare la funzione zoom per non affaticare gli occhi;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Arial Unicode MS" w:eastAsia="Arial Unicode MS" w:hAnsi="Arial Unicode MS" w:cs="Arial Unicode MS"/>
          <w:color w:val="222222"/>
          <w:sz w:val="16"/>
          <w:szCs w:val="16"/>
        </w:rPr>
        <w:t xml:space="preserve">▪ non lavorare mai al 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buio;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Indicazioni per il lavoro con il </w:t>
      </w:r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notebook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In caso di attività che comportino un tempo prolungato è opportuno l’impiego del 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notebook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con le seguenti raccomandazioni: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sistemare   il   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notebook  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su   un   idoneo   supporto   che   consenta   lo   stabile   posizionamento dell’attrezzatura e un comodo appoggio degli avambracci;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il sedile di lavoro deve essere stabile e deve permettere una posizione comoda. 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è importante stare seduti con un comodo appoggio della zona lombare e su una seduta non rigida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(eventualmente utilizzare dei cuscini poco spessi);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durante il lavoro con il 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notebook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, la schiena va mantenuta appoggiata al sedile provvisto di supporto per la zona lombare, evitando di piegarla in avanti;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mantenere gli avambracci, i polsi e le mani allineati durante l’uso della tastiera, evitando di piegare o angolare i polsi;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è opportuno che gli avambracci siano appoggiati sul piano e non tenuti sospesi;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utilizzare un piano di lavoro stabile, con una superficie a basso indice di riflessione, con altezza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sufficiente  per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permettere  l’alloggiamento  e  il  movimento  degli  arti  inferiori,  in  grado  di consentire l’ingresso  del sedile e dei braccioli, se presenti, e permettere una  disposizione comoda del dispositivo, dei documenti e del materiale accessorio;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l’altezza del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piano  di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lavoro  e della seduta devono  essere tali da consentire all’operatore in posizione seduta di avere gli angoli braccio/avambraccio e gamba/coscia ciascuno a circa 90°;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la profondità del piano di lavoro deve essere tale da assicurare una adeguata distanza visiva dallo schermo;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in base alla statura, e se necessario per mantenere un angolo di 90° tra gamba e coscia, creare un poggiapiedi con un oggetto di dimensioni opportune.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  <w:highlight w:val="green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Indicazioni per il lavoro con </w:t>
      </w:r>
      <w:proofErr w:type="spellStart"/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tablet</w:t>
      </w:r>
      <w:proofErr w:type="spellEnd"/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 </w:t>
      </w: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e </w:t>
      </w:r>
      <w:proofErr w:type="spellStart"/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smartphone</w:t>
      </w:r>
      <w:proofErr w:type="spellEnd"/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In caso di impiego di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tablet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e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smartphone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si raccomanda di: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effettuare frequenti pause, limitando il tempo di digitazione continuata;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evitare di utilizzare tali attrezzature mentre si cammina, salvo che per rispondere a chiamate vocali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prediligendo l’utilizzo dell’auricolare;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per prevenire l’affaticamento visivo, evitare attività prolungate di lettura sullo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smartphone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effettuare  periodicamente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esercizi  di  allungamento  dei  muscoli  della  mano  e  del  pollice (</w:t>
      </w: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stretching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).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 </w:t>
      </w:r>
      <w:proofErr w:type="gramStart"/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Indicazioni  per</w:t>
      </w:r>
      <w:proofErr w:type="gramEnd"/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 xml:space="preserve"> l’utilizzo  sicuro  dello  </w:t>
      </w:r>
      <w:proofErr w:type="spellStart"/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smartphone</w:t>
      </w:r>
      <w:proofErr w:type="spellEnd"/>
      <w:r w:rsidRPr="00B4366A">
        <w:rPr>
          <w:rFonts w:ascii="Helvetica Neue" w:eastAsia="Helvetica Neue" w:hAnsi="Helvetica Neue" w:cs="Helvetica Neue"/>
          <w:b/>
          <w:i/>
          <w:color w:val="222222"/>
          <w:sz w:val="16"/>
          <w:szCs w:val="16"/>
          <w:u w:val="single"/>
        </w:rPr>
        <w:t> </w:t>
      </w: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come telefono cellulare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bookmarkStart w:id="1" w:name="_gjdgxs" w:colFirst="0" w:colLast="0"/>
      <w:bookmarkEnd w:id="1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È bene utilizzare l’auricolare durante le chiamate, evitando di tenere il volume su livelli elevati;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proofErr w:type="gramStart"/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</w:rPr>
        <w:t>INDICAZIONI  RELATIVE</w:t>
      </w:r>
      <w:proofErr w:type="gramEnd"/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</w:rPr>
        <w:t xml:space="preserve">  A  REQUISITI  E  CORRETTO  UTILIZZO  DI  IMPIANTI ELETTRICI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Indicazioni relative ai requisiti e al corretto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utilizzo  di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impianti elettrici, apparecchi/dispositivi elettrici utilizzatori, dispositivi di connessione elettrica temporanea.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lastRenderedPageBreak/>
        <w:t>Impianto elettrico</w:t>
      </w:r>
    </w:p>
    <w:p w:rsidR="00911CC1" w:rsidRPr="00B4366A" w:rsidRDefault="00911CC1" w:rsidP="00911CC1">
      <w:pPr>
        <w:numPr>
          <w:ilvl w:val="0"/>
          <w:numId w:val="2"/>
        </w:numPr>
        <w:spacing w:before="280" w:after="280" w:line="276" w:lineRule="auto"/>
        <w:ind w:left="24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  <w:u w:val="single"/>
        </w:rPr>
        <w:t>A. Requisiti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1) i componenti dell’impianto elettrico utilizzato (prese, interruttori, ecc.) devono apparire privi di parti danneggiate;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2) le sue parti conduttrici in tensione non devono essere accessibili (ad es. a causa di scatole di derivazione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prive  di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coperchio di chiusura o con coperchio danneggiato, di scatole per prese o interruttori prive di alcuni componenti, di canaline </w:t>
      </w:r>
      <w:proofErr w:type="spell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portacavi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a vista prive di coperchi di chiusura o con coperchi danneggiati);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3) le parti dell’impianto devono risultare asciutte, pulite e non devono prodursi scintille, odori di bruciato e/o fumo;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è importante posizionare le lampade, specialmente quelle da tavolo, in modo tale che non vi sia contatto con materiali infiammabili.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b/>
          <w:color w:val="222222"/>
          <w:sz w:val="16"/>
          <w:szCs w:val="16"/>
          <w:u w:val="single"/>
        </w:rPr>
        <w:t>Dispositivi di connessione elettrica temporanea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(prolunghe, adattatori, prese a ricettività multipla, avvolgicavo, ecc.).</w:t>
      </w:r>
    </w:p>
    <w:p w:rsidR="00911CC1" w:rsidRPr="00B4366A" w:rsidRDefault="00911CC1" w:rsidP="00911CC1">
      <w:pPr>
        <w:numPr>
          <w:ilvl w:val="0"/>
          <w:numId w:val="1"/>
        </w:numPr>
        <w:spacing w:before="280" w:after="280" w:line="276" w:lineRule="auto"/>
        <w:ind w:left="24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  <w:u w:val="single"/>
        </w:rPr>
        <w:t>A. Requisiti: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i dispositivi di connessione elettrica temporanea devono essere dotati di informazioni (targhetta) indicanti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almeno  la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tensione  nominale (ad  es. 220-240  Volt), la corrente nominale (ad  es.  10 Ampere) e la potenza massima ammissibile (ad es. 1500 Watt);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i dispositivi di connessione elettrica temporanea che si intende utilizzare devono essere integri (la guaina del cavo,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le  prese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e le spine non devono essere danneggiate), non avere parti conduttrici scoperte (a spina inserita), non devono  emettere scintille, fumo e/o odore di bruciato durante il funzionamento.</w:t>
      </w:r>
    </w:p>
    <w:p w:rsidR="00911CC1" w:rsidRPr="00B4366A" w:rsidRDefault="00911CC1" w:rsidP="00911CC1">
      <w:pPr>
        <w:numPr>
          <w:ilvl w:val="0"/>
          <w:numId w:val="3"/>
        </w:numPr>
        <w:spacing w:before="280" w:after="280" w:line="276" w:lineRule="auto"/>
        <w:ind w:left="24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  <w:u w:val="single"/>
        </w:rPr>
        <w:t>B. Indicazioni di corretto utilizzo: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l’utilizzo  di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dispositivi  di  connessione  elettrica  temporanea  deve  essere  ridotto  al  minimo indispensabile e preferibilmente solo quando non siano disponibili punti di alimentazione più vicini e idonei;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le prese e le spine degli apparecchi elettrici, dei dispositivi di connessione elettrica temporanea e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dell’impianto  elettrico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devono essere compatibili tra loro (spine a poli allineati in prese a poli allineati,  spine 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schuko</w:t>
      </w:r>
      <w:proofErr w:type="spellEnd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 xml:space="preserve">  </w:t>
      </w: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in  prese  </w:t>
      </w:r>
      <w:proofErr w:type="spellStart"/>
      <w:r w:rsidRPr="00B4366A"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schuko</w:t>
      </w:r>
      <w:proofErr w:type="spell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)  e,  nel  funzionamento,  le  spine devono  essere  inserite completamente nelle prese, in modo da evitare il danneggiamento delle prese e garantire un contatto certo;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evitare di piegare, schiacciare, tirare prolunghe, spine, ecc.;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disporre  i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 cavi  di  alimentazione  e/o  le  eventuali  prolunghe  con  attenzione,  in  modo  da minimizzare il pericolo di inciampo;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– verificare sempre che la potenza ammissibile dei dispositivi di connessione elettrica temporanea (ad es. </w:t>
      </w:r>
      <w:proofErr w:type="gramStart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presa  multipla</w:t>
      </w:r>
      <w:proofErr w:type="gramEnd"/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 xml:space="preserve"> con 1500 Watt) sia maggiore della somma delle potenze assorbite dagli apparecchi elettrici collegati (ad es. PC 300 Watt + stampante 1000 Watt);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 fare   attenzione   a   che   i   dispositivi   di   connessione   elettrica   temporanea   non   risultino particolarmente caldi durante il loro funzionamento;</w:t>
      </w:r>
    </w:p>
    <w:p w:rsidR="00911CC1" w:rsidRPr="00B4366A" w:rsidRDefault="00911CC1" w:rsidP="00911CC1">
      <w:pPr>
        <w:spacing w:before="120" w:after="120"/>
        <w:jc w:val="both"/>
        <w:rPr>
          <w:rFonts w:ascii="Helvetica Neue" w:eastAsia="Helvetica Neue" w:hAnsi="Helvetica Neue" w:cs="Helvetica Neue"/>
          <w:color w:val="222222"/>
          <w:sz w:val="16"/>
          <w:szCs w:val="16"/>
        </w:rPr>
      </w:pPr>
      <w:r w:rsidRPr="00B4366A">
        <w:rPr>
          <w:rFonts w:ascii="Helvetica Neue" w:eastAsia="Helvetica Neue" w:hAnsi="Helvetica Neue" w:cs="Helvetica Neue"/>
          <w:color w:val="222222"/>
          <w:sz w:val="16"/>
          <w:szCs w:val="16"/>
        </w:rPr>
        <w:t>– srotolare i cavi il più possibile o comunque disporli in modo tale da esporre la maggiore superficie libera per smaltire il calore prodotto durante il loro impiego.</w:t>
      </w:r>
    </w:p>
    <w:p w:rsidR="00911CC1" w:rsidRPr="00B4366A" w:rsidRDefault="00911CC1" w:rsidP="00911CC1">
      <w:pPr>
        <w:widowControl w:val="0"/>
        <w:jc w:val="both"/>
        <w:rPr>
          <w:color w:val="0A0A0A"/>
          <w:sz w:val="16"/>
          <w:szCs w:val="16"/>
        </w:rPr>
      </w:pPr>
    </w:p>
    <w:p w:rsidR="00911CC1" w:rsidRPr="00B4366A" w:rsidRDefault="00911CC1" w:rsidP="00911CC1">
      <w:pPr>
        <w:widowControl w:val="0"/>
        <w:jc w:val="both"/>
        <w:rPr>
          <w:color w:val="0A0A0A"/>
          <w:sz w:val="16"/>
          <w:szCs w:val="16"/>
        </w:rPr>
      </w:pPr>
    </w:p>
    <w:p w:rsidR="007758C7" w:rsidRDefault="00911CC1"/>
    <w:sectPr w:rsidR="007758C7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24" w:rsidRPr="00385B24" w:rsidRDefault="00911CC1" w:rsidP="00385B24">
    <w:pPr>
      <w:pStyle w:val="Testocommento"/>
      <w:ind w:left="4248"/>
      <w:rPr>
        <w:rFonts w:cstheme="minorHAnsi"/>
        <w:sz w:val="18"/>
        <w:szCs w:val="18"/>
      </w:rPr>
    </w:pPr>
    <w:r w:rsidRPr="00385B24">
      <w:rPr>
        <w:rFonts w:cstheme="minorHAnsi"/>
        <w:noProof/>
        <w:sz w:val="18"/>
        <w:szCs w:val="18"/>
        <w:lang w:eastAsia="it-IT"/>
      </w:rPr>
      <w:drawing>
        <wp:inline distT="0" distB="0" distL="0" distR="0" wp14:anchorId="19E32EBA" wp14:editId="3B846332">
          <wp:extent cx="1038225" cy="303310"/>
          <wp:effectExtent l="19050" t="0" r="0" b="0"/>
          <wp:docPr id="8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5B24" w:rsidRPr="00385B24" w:rsidRDefault="00911CC1" w:rsidP="00385B24">
    <w:pPr>
      <w:pStyle w:val="Testocommento"/>
      <w:tabs>
        <w:tab w:val="left" w:pos="6225"/>
      </w:tabs>
      <w:ind w:left="142"/>
      <w:jc w:val="center"/>
      <w:rPr>
        <w:rFonts w:cstheme="minorHAnsi"/>
        <w:b/>
        <w:sz w:val="18"/>
        <w:szCs w:val="18"/>
      </w:rPr>
    </w:pPr>
    <w:r w:rsidRPr="00385B24">
      <w:rPr>
        <w:rFonts w:cstheme="minorHAnsi"/>
        <w:b/>
        <w:sz w:val="18"/>
        <w:szCs w:val="18"/>
      </w:rPr>
      <w:t>ISTITUTO OMNICOMPRENSIVO R. LAPORTA</w:t>
    </w:r>
  </w:p>
  <w:p w:rsidR="00385B24" w:rsidRPr="00385B24" w:rsidRDefault="00911CC1" w:rsidP="00385B24">
    <w:pPr>
      <w:pStyle w:val="Testocommento"/>
      <w:ind w:left="142"/>
      <w:jc w:val="center"/>
      <w:rPr>
        <w:rFonts w:cstheme="minorHAnsi"/>
        <w:b/>
        <w:sz w:val="18"/>
        <w:szCs w:val="18"/>
      </w:rPr>
    </w:pPr>
    <w:r w:rsidRPr="00385B24">
      <w:rPr>
        <w:rFonts w:cstheme="minorHAnsi"/>
        <w:b/>
        <w:sz w:val="18"/>
        <w:szCs w:val="18"/>
      </w:rPr>
      <w:t>05015 Fabro (</w:t>
    </w:r>
    <w:proofErr w:type="gramStart"/>
    <w:r w:rsidRPr="00385B24">
      <w:rPr>
        <w:rFonts w:cstheme="minorHAnsi"/>
        <w:b/>
        <w:sz w:val="18"/>
        <w:szCs w:val="18"/>
      </w:rPr>
      <w:t>TR)  Piazzale</w:t>
    </w:r>
    <w:proofErr w:type="gramEnd"/>
    <w:r w:rsidRPr="00385B24">
      <w:rPr>
        <w:rFonts w:cstheme="minorHAnsi"/>
        <w:b/>
        <w:sz w:val="18"/>
        <w:szCs w:val="18"/>
      </w:rPr>
      <w:t xml:space="preserve"> F. Parri, 3  Tel. 0763/832044-839175</w:t>
    </w:r>
  </w:p>
  <w:p w:rsidR="00385B24" w:rsidRPr="00385B24" w:rsidRDefault="00911CC1" w:rsidP="00385B24">
    <w:pPr>
      <w:pStyle w:val="Testocommento"/>
      <w:ind w:left="142"/>
      <w:jc w:val="center"/>
      <w:rPr>
        <w:rFonts w:cstheme="minorHAnsi"/>
        <w:sz w:val="18"/>
        <w:szCs w:val="18"/>
      </w:rPr>
    </w:pPr>
    <w:r w:rsidRPr="00385B24">
      <w:rPr>
        <w:rFonts w:cstheme="minorHAnsi"/>
        <w:sz w:val="18"/>
        <w:szCs w:val="18"/>
      </w:rPr>
      <w:t xml:space="preserve">Cod. </w:t>
    </w:r>
    <w:proofErr w:type="spellStart"/>
    <w:r w:rsidRPr="00385B24">
      <w:rPr>
        <w:rFonts w:cstheme="minorHAnsi"/>
        <w:sz w:val="18"/>
        <w:szCs w:val="18"/>
      </w:rPr>
      <w:t>Mecc</w:t>
    </w:r>
    <w:proofErr w:type="spellEnd"/>
    <w:r w:rsidRPr="00385B24">
      <w:rPr>
        <w:rFonts w:cstheme="minorHAnsi"/>
        <w:sz w:val="18"/>
        <w:szCs w:val="18"/>
      </w:rPr>
      <w:t xml:space="preserve">. TRIC815008 – E- Mail </w:t>
    </w:r>
    <w:hyperlink r:id="rId2" w:history="1">
      <w:r w:rsidRPr="00385B24">
        <w:rPr>
          <w:rStyle w:val="Collegamentoipertestuale"/>
          <w:rFonts w:eastAsia="Calibri" w:cstheme="minorHAnsi"/>
          <w:sz w:val="18"/>
          <w:szCs w:val="18"/>
        </w:rPr>
        <w:t>tric815008@istruzione.it</w:t>
      </w:r>
    </w:hyperlink>
    <w:r w:rsidRPr="00385B24">
      <w:rPr>
        <w:rFonts w:cstheme="minorHAnsi"/>
        <w:sz w:val="18"/>
        <w:szCs w:val="18"/>
      </w:rPr>
      <w:t xml:space="preserve">  C.F. 90009750556</w:t>
    </w:r>
  </w:p>
  <w:p w:rsidR="00385B24" w:rsidRPr="00385B24" w:rsidRDefault="00911CC1" w:rsidP="00385B24">
    <w:pPr>
      <w:pStyle w:val="Testocommento"/>
      <w:ind w:left="142"/>
      <w:jc w:val="center"/>
      <w:rPr>
        <w:rFonts w:cstheme="minorHAnsi"/>
        <w:sz w:val="18"/>
        <w:szCs w:val="18"/>
      </w:rPr>
    </w:pPr>
    <w:r w:rsidRPr="00385B24">
      <w:rPr>
        <w:rFonts w:cstheme="minorHAnsi"/>
        <w:sz w:val="18"/>
        <w:szCs w:val="18"/>
      </w:rPr>
      <w:t xml:space="preserve">E Mail </w:t>
    </w:r>
    <w:proofErr w:type="spellStart"/>
    <w:r w:rsidRPr="00385B24">
      <w:rPr>
        <w:rFonts w:cstheme="minorHAnsi"/>
        <w:sz w:val="18"/>
        <w:szCs w:val="18"/>
      </w:rPr>
      <w:t>cert</w:t>
    </w:r>
    <w:proofErr w:type="spellEnd"/>
    <w:r w:rsidRPr="00385B24">
      <w:rPr>
        <w:rFonts w:cstheme="minorHAnsi"/>
        <w:sz w:val="18"/>
        <w:szCs w:val="18"/>
      </w:rPr>
      <w:t xml:space="preserve">. </w:t>
    </w:r>
    <w:hyperlink r:id="rId3" w:history="1">
      <w:r w:rsidRPr="00385B24">
        <w:rPr>
          <w:rStyle w:val="Collegamentoipertestuale"/>
          <w:rFonts w:eastAsia="Calibri" w:cstheme="minorHAnsi"/>
          <w:sz w:val="18"/>
          <w:szCs w:val="18"/>
        </w:rPr>
        <w:t>tric815008@pec.istruzione.it</w:t>
      </w:r>
    </w:hyperlink>
  </w:p>
  <w:p w:rsidR="00385B24" w:rsidRPr="00385B24" w:rsidRDefault="00911CC1" w:rsidP="00385B24">
    <w:pPr>
      <w:pStyle w:val="Testocommento"/>
      <w:ind w:left="142"/>
      <w:jc w:val="center"/>
      <w:rPr>
        <w:rFonts w:cstheme="minorHAnsi"/>
        <w:sz w:val="18"/>
        <w:szCs w:val="18"/>
      </w:rPr>
    </w:pPr>
    <w:r w:rsidRPr="00385B24">
      <w:rPr>
        <w:rFonts w:cstheme="minorHAnsi"/>
        <w:sz w:val="18"/>
        <w:szCs w:val="18"/>
      </w:rPr>
      <w:t xml:space="preserve">Sito web: </w:t>
    </w:r>
    <w:hyperlink r:id="rId4" w:history="1">
      <w:r w:rsidRPr="00385B24">
        <w:rPr>
          <w:rStyle w:val="Collegamentoipertestuale"/>
          <w:rFonts w:eastAsia="Calibri" w:cstheme="minorHAnsi"/>
          <w:sz w:val="18"/>
          <w:szCs w:val="18"/>
        </w:rPr>
        <w:t>www.istfabro.edu.it</w:t>
      </w:r>
    </w:hyperlink>
  </w:p>
  <w:p w:rsidR="005E0E46" w:rsidRDefault="00911C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981"/>
    <w:multiLevelType w:val="multilevel"/>
    <w:tmpl w:val="A1ACB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97629C"/>
    <w:multiLevelType w:val="multilevel"/>
    <w:tmpl w:val="86FE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639780D"/>
    <w:multiLevelType w:val="multilevel"/>
    <w:tmpl w:val="AC7A7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1"/>
    <w:rsid w:val="002D37B7"/>
    <w:rsid w:val="00621671"/>
    <w:rsid w:val="009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2BCDC-98B6-44F5-A74D-08F6EA3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1C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1CC1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11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1</cp:revision>
  <dcterms:created xsi:type="dcterms:W3CDTF">2020-05-11T08:13:00Z</dcterms:created>
  <dcterms:modified xsi:type="dcterms:W3CDTF">2020-05-11T08:14:00Z</dcterms:modified>
</cp:coreProperties>
</file>